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</w:p>
    <w:p>
      <w:pPr>
        <w:spacing w:line="57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4488522"/>
      <w:r>
        <w:rPr>
          <w:rFonts w:hint="eastAsia" w:ascii="宋体" w:hAnsi="宋体" w:eastAsia="宋体" w:cs="宋体"/>
          <w:b/>
          <w:bCs/>
          <w:sz w:val="36"/>
          <w:szCs w:val="36"/>
        </w:rPr>
        <w:t>房地产行业发展报告</w:t>
      </w:r>
    </w:p>
    <w:bookmarkEnd w:id="0"/>
    <w:p>
      <w:pPr>
        <w:spacing w:line="57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 xml:space="preserve"> 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一、房地产行业发展背景分析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（一）行业政策环境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请结合地方政府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出台的纾困助企、推动行业高质量发展的</w:t>
      </w:r>
      <w:r>
        <w:rPr>
          <w:rFonts w:ascii="仿宋" w:hAnsi="仿宋" w:eastAsia="仿宋"/>
          <w:sz w:val="32"/>
          <w:szCs w:val="32"/>
        </w:rPr>
        <w:t>政策分析各地房地产行业的政策环境。（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含土地政策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（二）行业市场环境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请结合各市房地产市场的实际情况，总结分析本市房地产行业的市场环境。（例如经济发展，人口变化，住房状况，企业发展等）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二、房地产开发企业运行情况分析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从企业发展情况（例如企业数量、资质分布、规模分布等）、企业运营能力（例如盈利能力、负债水平等）、企业资金情况（例如建设资金、开发贷款等）、企业土地储备（例如拥有未开发地块的企业数量、土储规模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以及企业转型情况</w:t>
      </w:r>
      <w:r>
        <w:rPr>
          <w:rFonts w:ascii="仿宋" w:hAnsi="仿宋" w:eastAsia="仿宋"/>
          <w:sz w:val="32"/>
          <w:szCs w:val="32"/>
        </w:rPr>
        <w:t>等方面分析各地房地产开发企业运行情况。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三、房地产市场总体运行情况分析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（一）房地产开发投资建设分析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请运用图文结合的方式分析全市及各区（县、市）的</w:t>
      </w:r>
      <w:r>
        <w:rPr>
          <w:rFonts w:hint="eastAsia" w:ascii="仿宋" w:hAnsi="仿宋" w:eastAsia="仿宋" w:cs="微软雅黑"/>
          <w:sz w:val="32"/>
          <w:szCs w:val="32"/>
        </w:rPr>
        <w:t>土地供应面积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房地产开发投资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新开工面积</w:t>
      </w:r>
      <w:r>
        <w:rPr>
          <w:rFonts w:ascii="仿宋" w:hAnsi="仿宋" w:eastAsia="仿宋"/>
          <w:sz w:val="32"/>
          <w:szCs w:val="32"/>
        </w:rPr>
        <w:t>等指标变动。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line="570" w:lineRule="exact"/>
        <w:ind w:firstLine="643" w:firstLineChars="20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（二）房地产市场供销分析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请运用图文结合的方式分析全市及各区（县、市）商品房、商品住宅的销量、</w:t>
      </w:r>
      <w:r>
        <w:rPr>
          <w:rFonts w:hint="eastAsia" w:ascii="仿宋" w:hAnsi="仿宋" w:eastAsia="仿宋" w:cs="微软雅黑"/>
          <w:sz w:val="32"/>
          <w:szCs w:val="32"/>
        </w:rPr>
        <w:t>成交均价</w:t>
      </w:r>
      <w:r>
        <w:rPr>
          <w:rFonts w:ascii="仿宋" w:hAnsi="仿宋" w:eastAsia="仿宋"/>
          <w:sz w:val="32"/>
          <w:szCs w:val="32"/>
        </w:rPr>
        <w:t>、新增供应、库存面积、去化周期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以及</w:t>
      </w:r>
      <w:r>
        <w:rPr>
          <w:rFonts w:hint="eastAsia" w:ascii="仿宋" w:hAnsi="仿宋" w:eastAsia="仿宋" w:cs="微软雅黑"/>
          <w:sz w:val="32"/>
          <w:szCs w:val="32"/>
        </w:rPr>
        <w:t>二手</w:t>
      </w:r>
      <w:r>
        <w:rPr>
          <w:rFonts w:ascii="仿宋" w:hAnsi="仿宋" w:eastAsia="仿宋"/>
          <w:sz w:val="32"/>
          <w:szCs w:val="32"/>
        </w:rPr>
        <w:t>房、二手住宅</w:t>
      </w:r>
      <w:r>
        <w:rPr>
          <w:rFonts w:hint="eastAsia" w:ascii="仿宋" w:hAnsi="仿宋" w:eastAsia="仿宋" w:cs="微软雅黑"/>
          <w:sz w:val="32"/>
          <w:szCs w:val="32"/>
        </w:rPr>
        <w:t>成交</w:t>
      </w:r>
      <w:r>
        <w:rPr>
          <w:rFonts w:ascii="仿宋" w:hAnsi="仿宋" w:eastAsia="仿宋"/>
          <w:sz w:val="32"/>
          <w:szCs w:val="32"/>
        </w:rPr>
        <w:t>面积、成交均价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库存面积去化周期；住房租赁情况；土地供应情况、成交面积、楼面地价</w:t>
      </w:r>
      <w:r>
        <w:rPr>
          <w:rFonts w:ascii="仿宋" w:hAnsi="仿宋" w:eastAsia="仿宋"/>
          <w:sz w:val="32"/>
          <w:szCs w:val="32"/>
        </w:rPr>
        <w:t>等指标，并结合实际情况分析指标变动原因。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（三）房地产金融、税收分析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请运用图文结合的方式分析全市及各区域</w:t>
      </w:r>
      <w:r>
        <w:rPr>
          <w:rFonts w:hint="eastAsia" w:ascii="仿宋" w:hAnsi="仿宋" w:eastAsia="仿宋" w:cs="微软雅黑"/>
          <w:sz w:val="32"/>
          <w:szCs w:val="32"/>
        </w:rPr>
        <w:t>房地产贷款余额</w:t>
      </w:r>
      <w:r>
        <w:rPr>
          <w:rFonts w:ascii="仿宋" w:hAnsi="仿宋" w:eastAsia="仿宋"/>
          <w:sz w:val="32"/>
          <w:szCs w:val="32"/>
        </w:rPr>
        <w:t>、住房公积金归集额、贷款发放额、</w:t>
      </w:r>
      <w:r>
        <w:rPr>
          <w:rFonts w:hint="eastAsia" w:ascii="仿宋" w:hAnsi="仿宋" w:eastAsia="仿宋" w:cs="微软雅黑"/>
          <w:sz w:val="32"/>
          <w:szCs w:val="32"/>
        </w:rPr>
        <w:t>房地产业税收收入</w:t>
      </w:r>
      <w:r>
        <w:rPr>
          <w:rFonts w:ascii="仿宋" w:hAnsi="仿宋" w:eastAsia="仿宋"/>
          <w:sz w:val="32"/>
          <w:szCs w:val="32"/>
        </w:rPr>
        <w:t>等指标。</w:t>
      </w:r>
    </w:p>
    <w:p>
      <w:p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四、存在的主要问题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年房地产市场存在的主要问题</w:t>
      </w:r>
      <w:r>
        <w:rPr>
          <w:rFonts w:hint="eastAsia" w:ascii="仿宋" w:hAnsi="仿宋" w:eastAsia="仿宋" w:cs="微软雅黑"/>
          <w:sz w:val="32"/>
          <w:szCs w:val="32"/>
        </w:rPr>
        <w:t>；房地产市场中引起广泛关注的热点性、敏感性问题；其他可能影响房地产市场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微软雅黑"/>
          <w:sz w:val="32"/>
          <w:szCs w:val="32"/>
        </w:rPr>
        <w:t>发展的问题</w:t>
      </w:r>
      <w:r>
        <w:rPr>
          <w:rFonts w:ascii="仿宋" w:hAnsi="仿宋" w:eastAsia="仿宋" w:cs="微软雅黑"/>
          <w:sz w:val="32"/>
          <w:szCs w:val="32"/>
        </w:rPr>
        <w:t>。</w:t>
      </w:r>
    </w:p>
    <w:p>
      <w:pPr>
        <w:spacing w:line="570" w:lineRule="exact"/>
        <w:ind w:firstLine="643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五、房地产市场形势分析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请</w:t>
      </w:r>
      <w:r>
        <w:rPr>
          <w:rFonts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本市</w:t>
      </w:r>
      <w:r>
        <w:rPr>
          <w:rFonts w:ascii="仿宋" w:hAnsi="仿宋" w:eastAsia="仿宋"/>
          <w:sz w:val="32"/>
          <w:szCs w:val="32"/>
        </w:rPr>
        <w:t>经济发展形势、行业政策变动，</w:t>
      </w:r>
      <w:r>
        <w:rPr>
          <w:rFonts w:hint="eastAsia" w:ascii="仿宋" w:hAnsi="仿宋" w:eastAsia="仿宋" w:cs="微软雅黑"/>
          <w:sz w:val="32"/>
          <w:szCs w:val="32"/>
        </w:rPr>
        <w:t>产业结构调整、人口增长变化、人民生活水平变化和城市化发展进程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企业生产经营面临的困难等</w:t>
      </w:r>
      <w:r>
        <w:rPr>
          <w:rFonts w:ascii="仿宋" w:hAnsi="仿宋" w:eastAsia="仿宋"/>
          <w:sz w:val="32"/>
          <w:szCs w:val="32"/>
        </w:rPr>
        <w:t>，对20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年房地产市场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趋</w:t>
      </w:r>
      <w:r>
        <w:rPr>
          <w:rFonts w:ascii="仿宋" w:hAnsi="仿宋" w:eastAsia="仿宋"/>
          <w:sz w:val="32"/>
          <w:szCs w:val="32"/>
        </w:rPr>
        <w:t>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展望和研判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7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房地产行业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建议</w:t>
      </w:r>
    </w:p>
    <w:p>
      <w:pPr>
        <w:numPr>
          <w:ilvl w:val="0"/>
          <w:numId w:val="0"/>
        </w:numPr>
        <w:spacing w:line="570" w:lineRule="exact"/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both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9AFDD"/>
    <w:multiLevelType w:val="singleLevel"/>
    <w:tmpl w:val="B8B9AF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GY5M2E1NGU4ODhjZWUzNTZmZTQxZWU3YTE5NjMifQ=="/>
  </w:docVars>
  <w:rsids>
    <w:rsidRoot w:val="70337827"/>
    <w:rsid w:val="703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永中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 Char Char Char"/>
    <w:basedOn w:val="1"/>
    <w:autoRedefine/>
    <w:qFormat/>
    <w:uiPriority w:val="0"/>
    <w:pPr>
      <w:widowControl w:val="0"/>
    </w:pPr>
    <w:rPr>
      <w:rFonts w:ascii="宋体" w:hAnsi="宋体" w:eastAsia="宋体" w:cs="Courier New"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2024-03-18T01:39:00Z</dcterms:created>
  <dc:creator>南通市房地产业协会</dc:creator>
  <cp:lastModifiedBy>南通市房地产业协会</cp:lastModifiedBy>
  <dcterms:modified xsi:type="dcterms:W3CDTF">2024-03-18T01:39:58Z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D77C6996ED0545B7BA54EDFE67999C4A_11</vt:lpwstr>
  </property>
</Properties>
</file>